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5B1" w:rsidRDefault="003A65B1" w:rsidP="00987A32">
      <w:pPr>
        <w:pStyle w:val="NoSpacing"/>
        <w:spacing w:line="360" w:lineRule="auto"/>
        <w:rPr>
          <w:b/>
          <w:sz w:val="24"/>
          <w:szCs w:val="24"/>
        </w:rPr>
      </w:pPr>
      <w:r w:rsidRPr="003A65B1">
        <w:rPr>
          <w:b/>
          <w:sz w:val="24"/>
          <w:szCs w:val="24"/>
        </w:rPr>
        <w:t>FOR IMMEDIATE RELEASE</w:t>
      </w:r>
    </w:p>
    <w:p w:rsidR="003A65B1" w:rsidRDefault="003A65B1" w:rsidP="00987A32">
      <w:pPr>
        <w:pStyle w:val="NoSpacing"/>
        <w:spacing w:line="360" w:lineRule="auto"/>
        <w:rPr>
          <w:b/>
          <w:sz w:val="24"/>
          <w:szCs w:val="24"/>
        </w:rPr>
      </w:pPr>
    </w:p>
    <w:p w:rsidR="003A65B1" w:rsidRDefault="003A65B1" w:rsidP="00987A32">
      <w:pPr>
        <w:pStyle w:val="NoSpacing"/>
        <w:spacing w:line="360" w:lineRule="auto"/>
        <w:jc w:val="center"/>
        <w:rPr>
          <w:b/>
          <w:i/>
          <w:sz w:val="24"/>
          <w:szCs w:val="24"/>
        </w:rPr>
      </w:pPr>
      <w:r>
        <w:rPr>
          <w:b/>
          <w:sz w:val="24"/>
          <w:szCs w:val="24"/>
        </w:rPr>
        <w:t xml:space="preserve">Mangle: </w:t>
      </w:r>
      <w:proofErr w:type="spellStart"/>
      <w:r w:rsidR="00107A24">
        <w:rPr>
          <w:b/>
          <w:i/>
          <w:sz w:val="24"/>
          <w:szCs w:val="24"/>
        </w:rPr>
        <w:t>Sinergia</w:t>
      </w:r>
      <w:proofErr w:type="spellEnd"/>
    </w:p>
    <w:p w:rsidR="003A65B1" w:rsidRDefault="00BF46D3" w:rsidP="00987A32">
      <w:pPr>
        <w:pStyle w:val="NoSpacing"/>
        <w:spacing w:line="360" w:lineRule="auto"/>
        <w:jc w:val="center"/>
        <w:rPr>
          <w:sz w:val="24"/>
          <w:szCs w:val="24"/>
        </w:rPr>
      </w:pPr>
      <w:r>
        <w:rPr>
          <w:sz w:val="24"/>
          <w:szCs w:val="24"/>
        </w:rPr>
        <w:t>June 28</w:t>
      </w:r>
      <w:r w:rsidR="003A65B1">
        <w:rPr>
          <w:sz w:val="24"/>
          <w:szCs w:val="24"/>
        </w:rPr>
        <w:t xml:space="preserve"> – July 26, 2013</w:t>
      </w:r>
    </w:p>
    <w:p w:rsidR="0049274A" w:rsidRDefault="003A65B1" w:rsidP="00987A32">
      <w:pPr>
        <w:pStyle w:val="NoSpacing"/>
        <w:spacing w:line="360" w:lineRule="auto"/>
        <w:jc w:val="center"/>
        <w:rPr>
          <w:sz w:val="24"/>
          <w:szCs w:val="24"/>
        </w:rPr>
      </w:pPr>
      <w:r>
        <w:rPr>
          <w:sz w:val="24"/>
          <w:szCs w:val="24"/>
        </w:rPr>
        <w:t>Artist Reception: Thursday, June 2</w:t>
      </w:r>
      <w:r w:rsidR="00BF46D3">
        <w:rPr>
          <w:sz w:val="24"/>
          <w:szCs w:val="24"/>
        </w:rPr>
        <w:t>7</w:t>
      </w:r>
      <w:r w:rsidRPr="003A65B1">
        <w:rPr>
          <w:sz w:val="24"/>
          <w:szCs w:val="24"/>
          <w:vertAlign w:val="superscript"/>
        </w:rPr>
        <w:t>th</w:t>
      </w:r>
      <w:r>
        <w:rPr>
          <w:sz w:val="24"/>
          <w:szCs w:val="24"/>
        </w:rPr>
        <w:t>, 6-8pm</w:t>
      </w:r>
    </w:p>
    <w:p w:rsidR="003A65B1" w:rsidRPr="0049274A" w:rsidRDefault="003A65B1" w:rsidP="00987A32">
      <w:pPr>
        <w:pStyle w:val="NoSpacing"/>
        <w:spacing w:line="360" w:lineRule="auto"/>
        <w:jc w:val="both"/>
        <w:rPr>
          <w:sz w:val="20"/>
        </w:rPr>
      </w:pPr>
    </w:p>
    <w:p w:rsidR="006375F1" w:rsidRPr="0049274A" w:rsidRDefault="003A65B1" w:rsidP="00987A32">
      <w:pPr>
        <w:pStyle w:val="NoSpacing"/>
        <w:spacing w:line="360" w:lineRule="auto"/>
        <w:jc w:val="both"/>
        <w:rPr>
          <w:sz w:val="20"/>
        </w:rPr>
      </w:pPr>
      <w:proofErr w:type="spellStart"/>
      <w:r w:rsidRPr="0049274A">
        <w:rPr>
          <w:sz w:val="20"/>
        </w:rPr>
        <w:t>Magnan</w:t>
      </w:r>
      <w:proofErr w:type="spellEnd"/>
      <w:r w:rsidRPr="0049274A">
        <w:rPr>
          <w:sz w:val="20"/>
        </w:rPr>
        <w:t xml:space="preserve"> Metz Gallery is pleased to present the first solo exhibition for Colombian duo, Mangle. </w:t>
      </w:r>
      <w:proofErr w:type="spellStart"/>
      <w:r w:rsidRPr="0049274A">
        <w:rPr>
          <w:i/>
          <w:sz w:val="20"/>
        </w:rPr>
        <w:t>Sinergia</w:t>
      </w:r>
      <w:proofErr w:type="spellEnd"/>
      <w:r w:rsidRPr="0049274A">
        <w:rPr>
          <w:i/>
          <w:sz w:val="20"/>
        </w:rPr>
        <w:t xml:space="preserve"> </w:t>
      </w:r>
      <w:r w:rsidRPr="0049274A">
        <w:rPr>
          <w:sz w:val="20"/>
        </w:rPr>
        <w:t>will be on display from June 2</w:t>
      </w:r>
      <w:r w:rsidR="00BF46D3">
        <w:rPr>
          <w:sz w:val="20"/>
        </w:rPr>
        <w:t>8</w:t>
      </w:r>
      <w:r w:rsidRPr="0049274A">
        <w:rPr>
          <w:sz w:val="20"/>
          <w:vertAlign w:val="superscript"/>
        </w:rPr>
        <w:t>th</w:t>
      </w:r>
      <w:r w:rsidRPr="0049274A">
        <w:rPr>
          <w:sz w:val="20"/>
        </w:rPr>
        <w:t xml:space="preserve"> through July 26</w:t>
      </w:r>
      <w:r w:rsidRPr="0049274A">
        <w:rPr>
          <w:sz w:val="20"/>
          <w:vertAlign w:val="superscript"/>
        </w:rPr>
        <w:t>th</w:t>
      </w:r>
      <w:r w:rsidRPr="0049274A">
        <w:rPr>
          <w:sz w:val="20"/>
        </w:rPr>
        <w:t xml:space="preserve"> with an artist reception on Thursday, June 2</w:t>
      </w:r>
      <w:r w:rsidR="00BF46D3">
        <w:rPr>
          <w:sz w:val="20"/>
        </w:rPr>
        <w:t>7</w:t>
      </w:r>
      <w:r w:rsidRPr="0049274A">
        <w:rPr>
          <w:sz w:val="20"/>
          <w:vertAlign w:val="superscript"/>
        </w:rPr>
        <w:t>th</w:t>
      </w:r>
      <w:r w:rsidRPr="0049274A">
        <w:rPr>
          <w:sz w:val="20"/>
        </w:rPr>
        <w:t xml:space="preserve"> from 6 </w:t>
      </w:r>
      <w:r w:rsidR="006375F1" w:rsidRPr="0049274A">
        <w:rPr>
          <w:sz w:val="20"/>
        </w:rPr>
        <w:t>to 8pm.</w:t>
      </w:r>
      <w:r w:rsidR="003E2C54" w:rsidRPr="0049274A">
        <w:rPr>
          <w:sz w:val="20"/>
        </w:rPr>
        <w:t xml:space="preserve"> </w:t>
      </w:r>
    </w:p>
    <w:p w:rsidR="006375F1" w:rsidRPr="0049274A" w:rsidRDefault="006375F1" w:rsidP="00987A32">
      <w:pPr>
        <w:pStyle w:val="NoSpacing"/>
        <w:spacing w:line="360" w:lineRule="auto"/>
        <w:jc w:val="both"/>
        <w:rPr>
          <w:rFonts w:cstheme="minorHAnsi"/>
          <w:sz w:val="20"/>
        </w:rPr>
      </w:pPr>
    </w:p>
    <w:p w:rsidR="006375F1" w:rsidRPr="0049274A" w:rsidRDefault="006375F1" w:rsidP="00987A32">
      <w:pPr>
        <w:pStyle w:val="NoSpacing"/>
        <w:spacing w:line="360" w:lineRule="auto"/>
        <w:jc w:val="both"/>
        <w:rPr>
          <w:rFonts w:cstheme="minorHAnsi"/>
          <w:sz w:val="20"/>
        </w:rPr>
      </w:pPr>
      <w:r w:rsidRPr="0049274A">
        <w:rPr>
          <w:rFonts w:cstheme="minorHAnsi"/>
          <w:sz w:val="20"/>
        </w:rPr>
        <w:t xml:space="preserve">Having </w:t>
      </w:r>
      <w:r w:rsidR="003E2C54" w:rsidRPr="0049274A">
        <w:rPr>
          <w:rFonts w:cstheme="minorHAnsi"/>
          <w:sz w:val="20"/>
        </w:rPr>
        <w:t>mastered</w:t>
      </w:r>
      <w:r w:rsidRPr="0049274A">
        <w:rPr>
          <w:rFonts w:cstheme="minorHAnsi"/>
          <w:sz w:val="20"/>
        </w:rPr>
        <w:t xml:space="preserve"> the delicate and me</w:t>
      </w:r>
      <w:r w:rsidR="00987A32">
        <w:rPr>
          <w:rFonts w:cstheme="minorHAnsi"/>
          <w:sz w:val="20"/>
        </w:rPr>
        <w:t>ticulous craft of furniture woodwork</w:t>
      </w:r>
      <w:r w:rsidRPr="0049274A">
        <w:rPr>
          <w:rFonts w:cstheme="minorHAnsi"/>
          <w:sz w:val="20"/>
        </w:rPr>
        <w:t xml:space="preserve">, Mangle has now begun to explore the </w:t>
      </w:r>
      <w:proofErr w:type="gramStart"/>
      <w:r w:rsidRPr="0049274A">
        <w:rPr>
          <w:rFonts w:cstheme="minorHAnsi"/>
          <w:sz w:val="20"/>
        </w:rPr>
        <w:t>flexibility</w:t>
      </w:r>
      <w:proofErr w:type="gramEnd"/>
      <w:r w:rsidRPr="0049274A">
        <w:rPr>
          <w:rFonts w:cstheme="minorHAnsi"/>
          <w:sz w:val="20"/>
        </w:rPr>
        <w:t xml:space="preserve"> of their medium. </w:t>
      </w:r>
      <w:r w:rsidR="000A10B8" w:rsidRPr="0049274A">
        <w:rPr>
          <w:rFonts w:cstheme="minorHAnsi"/>
          <w:sz w:val="20"/>
        </w:rPr>
        <w:t xml:space="preserve">They seek to transform the capacity of the material; to </w:t>
      </w:r>
      <w:r w:rsidR="0038443E">
        <w:rPr>
          <w:rFonts w:cstheme="minorHAnsi"/>
          <w:sz w:val="20"/>
        </w:rPr>
        <w:t>instill</w:t>
      </w:r>
      <w:r w:rsidR="000A10B8" w:rsidRPr="0049274A">
        <w:rPr>
          <w:rFonts w:cstheme="minorHAnsi"/>
          <w:sz w:val="20"/>
        </w:rPr>
        <w:t xml:space="preserve"> a constant flow of energy throughout it. Through their coupled workforce</w:t>
      </w:r>
      <w:r w:rsidR="00CB6BFD">
        <w:rPr>
          <w:rFonts w:cstheme="minorHAnsi"/>
          <w:sz w:val="20"/>
        </w:rPr>
        <w:t>,</w:t>
      </w:r>
      <w:r w:rsidR="000A10B8" w:rsidRPr="0049274A">
        <w:rPr>
          <w:rFonts w:cstheme="minorHAnsi"/>
          <w:sz w:val="20"/>
        </w:rPr>
        <w:t xml:space="preserve"> they create an organic synergy: an </w:t>
      </w:r>
      <w:r w:rsidRPr="0049274A">
        <w:rPr>
          <w:rFonts w:cstheme="minorHAnsi"/>
          <w:sz w:val="20"/>
        </w:rPr>
        <w:t xml:space="preserve">interaction of elements that when combined produce a total effect that is greater than the </w:t>
      </w:r>
      <w:r w:rsidR="000A10B8" w:rsidRPr="0049274A">
        <w:rPr>
          <w:rFonts w:cstheme="minorHAnsi"/>
          <w:sz w:val="20"/>
        </w:rPr>
        <w:t>sum of the individual elements.</w:t>
      </w:r>
    </w:p>
    <w:p w:rsidR="006375F1" w:rsidRPr="0049274A" w:rsidRDefault="006375F1" w:rsidP="00987A32">
      <w:pPr>
        <w:pStyle w:val="NoSpacing"/>
        <w:spacing w:line="360" w:lineRule="auto"/>
        <w:jc w:val="both"/>
        <w:rPr>
          <w:rFonts w:cstheme="minorHAnsi"/>
          <w:sz w:val="20"/>
        </w:rPr>
      </w:pPr>
    </w:p>
    <w:p w:rsidR="003E2C54" w:rsidRPr="0049274A" w:rsidRDefault="006375F1" w:rsidP="00987A32">
      <w:pPr>
        <w:pStyle w:val="NoSpacing"/>
        <w:spacing w:line="360" w:lineRule="auto"/>
        <w:jc w:val="both"/>
        <w:rPr>
          <w:rFonts w:eastAsia="Times New Roman" w:cs="Helvetica"/>
          <w:color w:val="000000"/>
          <w:sz w:val="20"/>
          <w:szCs w:val="19"/>
        </w:rPr>
      </w:pPr>
      <w:r w:rsidRPr="0049274A">
        <w:rPr>
          <w:rFonts w:eastAsia="Times New Roman" w:cs="Helvetica"/>
          <w:color w:val="000000"/>
          <w:sz w:val="20"/>
          <w:szCs w:val="19"/>
        </w:rPr>
        <w:t xml:space="preserve">A cable </w:t>
      </w:r>
      <w:r w:rsidR="000A10B8" w:rsidRPr="0049274A">
        <w:rPr>
          <w:rFonts w:eastAsia="Times New Roman" w:cs="Helvetica"/>
          <w:color w:val="000000"/>
          <w:sz w:val="20"/>
          <w:szCs w:val="19"/>
        </w:rPr>
        <w:t>suggests</w:t>
      </w:r>
      <w:r w:rsidRPr="0049274A">
        <w:rPr>
          <w:rFonts w:eastAsia="Times New Roman" w:cs="Helvetica"/>
          <w:color w:val="000000"/>
          <w:sz w:val="20"/>
          <w:szCs w:val="19"/>
        </w:rPr>
        <w:t xml:space="preserve"> the transmission of </w:t>
      </w:r>
      <w:r w:rsidR="00911D53" w:rsidRPr="0049274A">
        <w:rPr>
          <w:rFonts w:eastAsia="Times New Roman" w:cs="Helvetica"/>
          <w:color w:val="000000"/>
          <w:sz w:val="20"/>
          <w:szCs w:val="19"/>
        </w:rPr>
        <w:t xml:space="preserve">an </w:t>
      </w:r>
      <w:r w:rsidRPr="0049274A">
        <w:rPr>
          <w:rFonts w:eastAsia="Times New Roman" w:cs="Helvetica"/>
          <w:color w:val="000000"/>
          <w:sz w:val="20"/>
          <w:szCs w:val="19"/>
        </w:rPr>
        <w:t>electrical curre</w:t>
      </w:r>
      <w:r w:rsidR="00987A32">
        <w:rPr>
          <w:rFonts w:eastAsia="Times New Roman" w:cs="Helvetica"/>
          <w:color w:val="000000"/>
          <w:sz w:val="20"/>
          <w:szCs w:val="19"/>
        </w:rPr>
        <w:t>nt between Point A and P</w:t>
      </w:r>
      <w:r w:rsidR="000A10B8" w:rsidRPr="0049274A">
        <w:rPr>
          <w:rFonts w:eastAsia="Times New Roman" w:cs="Helvetica"/>
          <w:color w:val="000000"/>
          <w:sz w:val="20"/>
          <w:szCs w:val="19"/>
        </w:rPr>
        <w:t xml:space="preserve">oint B. </w:t>
      </w:r>
      <w:r w:rsidR="00911D53" w:rsidRPr="0049274A">
        <w:rPr>
          <w:rFonts w:eastAsia="Times New Roman" w:cs="Helvetica"/>
          <w:color w:val="000000"/>
          <w:sz w:val="20"/>
          <w:szCs w:val="19"/>
        </w:rPr>
        <w:t xml:space="preserve">With the extension of these cables, a connection becomes stronger and more expansive. </w:t>
      </w:r>
      <w:r w:rsidR="00987A32">
        <w:rPr>
          <w:rFonts w:eastAsia="Times New Roman" w:cs="Helvetica"/>
          <w:color w:val="000000"/>
          <w:sz w:val="20"/>
          <w:szCs w:val="19"/>
        </w:rPr>
        <w:t>When</w:t>
      </w:r>
      <w:r w:rsidR="00911D53" w:rsidRPr="0049274A">
        <w:rPr>
          <w:rFonts w:eastAsia="Times New Roman" w:cs="Helvetica"/>
          <w:color w:val="000000"/>
          <w:sz w:val="20"/>
          <w:szCs w:val="19"/>
        </w:rPr>
        <w:t xml:space="preserve"> construct</w:t>
      </w:r>
      <w:r w:rsidR="00987A32">
        <w:rPr>
          <w:rFonts w:eastAsia="Times New Roman" w:cs="Helvetica"/>
          <w:color w:val="000000"/>
          <w:sz w:val="20"/>
          <w:szCs w:val="19"/>
        </w:rPr>
        <w:t>ing</w:t>
      </w:r>
      <w:r w:rsidR="00911D53" w:rsidRPr="0049274A">
        <w:rPr>
          <w:rFonts w:eastAsia="Times New Roman" w:cs="Helvetica"/>
          <w:color w:val="000000"/>
          <w:sz w:val="20"/>
          <w:szCs w:val="19"/>
        </w:rPr>
        <w:t xml:space="preserve"> a cable out of wood, this idea of transmission takes on new meaning. It encourages </w:t>
      </w:r>
      <w:r w:rsidR="003E2C54" w:rsidRPr="0049274A">
        <w:rPr>
          <w:rFonts w:eastAsia="Times New Roman" w:cs="Helvetica"/>
          <w:color w:val="000000"/>
          <w:sz w:val="20"/>
          <w:szCs w:val="19"/>
        </w:rPr>
        <w:t>a</w:t>
      </w:r>
      <w:r w:rsidR="00911D53" w:rsidRPr="0049274A">
        <w:rPr>
          <w:rFonts w:eastAsia="Times New Roman" w:cs="Helvetica"/>
          <w:color w:val="000000"/>
          <w:sz w:val="20"/>
          <w:szCs w:val="19"/>
        </w:rPr>
        <w:t xml:space="preserve"> surge of vital, </w:t>
      </w:r>
      <w:r w:rsidR="00CB6BFD">
        <w:rPr>
          <w:rFonts w:eastAsia="Times New Roman" w:cs="Helvetica"/>
          <w:color w:val="000000"/>
          <w:sz w:val="20"/>
          <w:szCs w:val="19"/>
        </w:rPr>
        <w:t>natural</w:t>
      </w:r>
      <w:r w:rsidR="00911D53" w:rsidRPr="0049274A">
        <w:rPr>
          <w:rFonts w:eastAsia="Times New Roman" w:cs="Helvetica"/>
          <w:color w:val="000000"/>
          <w:sz w:val="20"/>
          <w:szCs w:val="19"/>
        </w:rPr>
        <w:t>, and c</w:t>
      </w:r>
      <w:r w:rsidR="003E2C54" w:rsidRPr="0049274A">
        <w:rPr>
          <w:rFonts w:eastAsia="Times New Roman" w:cs="Helvetica"/>
          <w:color w:val="000000"/>
          <w:sz w:val="20"/>
          <w:szCs w:val="19"/>
        </w:rPr>
        <w:t>onstantly moving energy throughout</w:t>
      </w:r>
      <w:r w:rsidR="00987A32">
        <w:rPr>
          <w:rFonts w:eastAsia="Times New Roman" w:cs="Helvetica"/>
          <w:color w:val="000000"/>
          <w:sz w:val="20"/>
          <w:szCs w:val="19"/>
        </w:rPr>
        <w:t xml:space="preserve"> the</w:t>
      </w:r>
      <w:r w:rsidR="003E2C54" w:rsidRPr="0049274A">
        <w:rPr>
          <w:rFonts w:eastAsia="Times New Roman" w:cs="Helvetica"/>
          <w:color w:val="000000"/>
          <w:sz w:val="20"/>
          <w:szCs w:val="19"/>
        </w:rPr>
        <w:t xml:space="preserve"> </w:t>
      </w:r>
      <w:r w:rsidR="00987A32">
        <w:rPr>
          <w:rFonts w:eastAsia="Times New Roman" w:cs="Helvetica"/>
          <w:color w:val="000000"/>
          <w:sz w:val="20"/>
          <w:szCs w:val="19"/>
        </w:rPr>
        <w:t xml:space="preserve">trees that they originated from. </w:t>
      </w:r>
      <w:r w:rsidR="0049274A" w:rsidRPr="0049274A">
        <w:rPr>
          <w:rFonts w:eastAsia="Times New Roman" w:cs="Helvetica"/>
          <w:color w:val="000000"/>
          <w:sz w:val="20"/>
          <w:szCs w:val="19"/>
        </w:rPr>
        <w:t xml:space="preserve"> </w:t>
      </w:r>
      <w:proofErr w:type="spellStart"/>
      <w:r w:rsidR="003E2C54" w:rsidRPr="0049274A">
        <w:rPr>
          <w:rFonts w:eastAsia="Times New Roman" w:cs="Helvetica"/>
          <w:i/>
          <w:color w:val="000000"/>
          <w:sz w:val="20"/>
          <w:szCs w:val="19"/>
        </w:rPr>
        <w:t>Sinergia</w:t>
      </w:r>
      <w:proofErr w:type="spellEnd"/>
      <w:r w:rsidR="003E2C54" w:rsidRPr="0049274A">
        <w:rPr>
          <w:rFonts w:eastAsia="Times New Roman" w:cs="Helvetica"/>
          <w:color w:val="000000"/>
          <w:sz w:val="20"/>
          <w:szCs w:val="19"/>
        </w:rPr>
        <w:t xml:space="preserve"> also investigate</w:t>
      </w:r>
      <w:r w:rsidR="0049274A" w:rsidRPr="0049274A">
        <w:rPr>
          <w:rFonts w:eastAsia="Times New Roman" w:cs="Helvetica"/>
          <w:color w:val="000000"/>
          <w:sz w:val="20"/>
          <w:szCs w:val="19"/>
        </w:rPr>
        <w:t>s</w:t>
      </w:r>
      <w:r w:rsidR="003E2C54" w:rsidRPr="0049274A">
        <w:rPr>
          <w:rFonts w:eastAsia="Times New Roman" w:cs="Helvetica"/>
          <w:color w:val="000000"/>
          <w:sz w:val="20"/>
          <w:szCs w:val="19"/>
        </w:rPr>
        <w:t xml:space="preserve"> the energy that man applies </w:t>
      </w:r>
      <w:r w:rsidR="00CB6BFD">
        <w:rPr>
          <w:rFonts w:eastAsia="Times New Roman" w:cs="Helvetica"/>
          <w:color w:val="000000"/>
          <w:sz w:val="20"/>
          <w:szCs w:val="19"/>
        </w:rPr>
        <w:t>and transfers to</w:t>
      </w:r>
      <w:r w:rsidR="003E2C54" w:rsidRPr="0049274A">
        <w:rPr>
          <w:rFonts w:eastAsia="Times New Roman" w:cs="Helvetica"/>
          <w:color w:val="000000"/>
          <w:sz w:val="20"/>
          <w:szCs w:val="19"/>
        </w:rPr>
        <w:t xml:space="preserve"> alter the physic</w:t>
      </w:r>
      <w:r w:rsidR="00CB6BFD">
        <w:rPr>
          <w:rFonts w:eastAsia="Times New Roman" w:cs="Helvetica"/>
          <w:color w:val="000000"/>
          <w:sz w:val="20"/>
          <w:szCs w:val="19"/>
        </w:rPr>
        <w:t>al appearance and form of wood</w:t>
      </w:r>
      <w:r w:rsidR="003E2C54" w:rsidRPr="0049274A">
        <w:rPr>
          <w:rFonts w:eastAsia="Times New Roman" w:cs="Helvetica"/>
          <w:color w:val="000000"/>
          <w:sz w:val="20"/>
          <w:szCs w:val="19"/>
        </w:rPr>
        <w:t xml:space="preserve"> in order to yield functional tools. </w:t>
      </w:r>
    </w:p>
    <w:p w:rsidR="0049274A" w:rsidRPr="0049274A" w:rsidRDefault="0049274A" w:rsidP="00987A32">
      <w:pPr>
        <w:pStyle w:val="NoSpacing"/>
        <w:spacing w:line="360" w:lineRule="auto"/>
        <w:jc w:val="both"/>
        <w:rPr>
          <w:rFonts w:ascii="Helvetica" w:eastAsia="Times New Roman" w:hAnsi="Helvetica" w:cs="Helvetica"/>
          <w:b/>
          <w:i/>
          <w:color w:val="000000"/>
          <w:sz w:val="20"/>
          <w:szCs w:val="19"/>
        </w:rPr>
      </w:pPr>
    </w:p>
    <w:p w:rsidR="0049274A" w:rsidRPr="0049274A" w:rsidRDefault="0049274A" w:rsidP="00987A32">
      <w:pPr>
        <w:pStyle w:val="NoSpacing"/>
        <w:spacing w:line="360" w:lineRule="auto"/>
        <w:jc w:val="both"/>
        <w:rPr>
          <w:rFonts w:ascii="Helvetica" w:eastAsia="Times New Roman" w:hAnsi="Helvetica" w:cs="Helvetica"/>
          <w:b/>
          <w:i/>
          <w:color w:val="000000"/>
          <w:sz w:val="20"/>
          <w:szCs w:val="19"/>
        </w:rPr>
      </w:pPr>
      <w:r w:rsidRPr="0049274A">
        <w:rPr>
          <w:sz w:val="20"/>
        </w:rPr>
        <w:t xml:space="preserve">Mangle, whose name hails from the twisting, winding mangrove trees of Colombia, uses complex, handmade molds to invent new structures.  The undulations of </w:t>
      </w:r>
      <w:proofErr w:type="spellStart"/>
      <w:r w:rsidRPr="0049274A">
        <w:rPr>
          <w:sz w:val="20"/>
        </w:rPr>
        <w:t>Tayrona</w:t>
      </w:r>
      <w:proofErr w:type="spellEnd"/>
      <w:r w:rsidRPr="0049274A">
        <w:rPr>
          <w:sz w:val="20"/>
        </w:rPr>
        <w:t xml:space="preserve"> (2007), the gentle curve of </w:t>
      </w:r>
      <w:proofErr w:type="spellStart"/>
      <w:r w:rsidRPr="0049274A">
        <w:rPr>
          <w:sz w:val="20"/>
        </w:rPr>
        <w:t>Vientre</w:t>
      </w:r>
      <w:proofErr w:type="spellEnd"/>
      <w:r w:rsidRPr="0049274A">
        <w:rPr>
          <w:sz w:val="20"/>
        </w:rPr>
        <w:t xml:space="preserve"> (2007) and the sinewy body of </w:t>
      </w:r>
      <w:proofErr w:type="spellStart"/>
      <w:r w:rsidRPr="0049274A">
        <w:rPr>
          <w:sz w:val="20"/>
        </w:rPr>
        <w:t>Vineras</w:t>
      </w:r>
      <w:proofErr w:type="spellEnd"/>
      <w:r w:rsidRPr="0049274A">
        <w:rPr>
          <w:sz w:val="20"/>
        </w:rPr>
        <w:t xml:space="preserve"> (2009) each pay homage to these harmonious, naturally occurring forms.   As Maria Paula explains, the duo finds inspiration in “…the sensuality of the line and its fluidity and discovering in our designs that which we want to obtain. It is an intimate process of constant conciliation”. </w:t>
      </w:r>
    </w:p>
    <w:p w:rsidR="00690959" w:rsidRPr="0049274A" w:rsidRDefault="00690959" w:rsidP="00987A32">
      <w:pPr>
        <w:pStyle w:val="NoSpacing"/>
        <w:spacing w:line="360" w:lineRule="auto"/>
        <w:jc w:val="both"/>
        <w:rPr>
          <w:b/>
          <w:sz w:val="20"/>
        </w:rPr>
      </w:pPr>
    </w:p>
    <w:p w:rsidR="00987A32" w:rsidRDefault="00107A24" w:rsidP="00987A32">
      <w:pPr>
        <w:pStyle w:val="NoSpacing"/>
        <w:spacing w:line="360" w:lineRule="auto"/>
        <w:jc w:val="both"/>
        <w:rPr>
          <w:sz w:val="20"/>
        </w:rPr>
      </w:pPr>
      <w:r w:rsidRPr="0049274A">
        <w:rPr>
          <w:bCs/>
          <w:sz w:val="20"/>
        </w:rPr>
        <w:t>Diego Fernando Alvarez (b. Bogotá, 1978) and Maria Paula Alvarez (b. Bogotá, 1984)</w:t>
      </w:r>
      <w:r w:rsidRPr="0049274A">
        <w:rPr>
          <w:sz w:val="20"/>
        </w:rPr>
        <w:t xml:space="preserve">, </w:t>
      </w:r>
      <w:r w:rsidR="00987A32">
        <w:rPr>
          <w:sz w:val="20"/>
        </w:rPr>
        <w:t>formed Mangle in 2006 after completing</w:t>
      </w:r>
      <w:r w:rsidR="00987A32" w:rsidRPr="0049274A">
        <w:rPr>
          <w:sz w:val="20"/>
        </w:rPr>
        <w:t xml:space="preserve"> the woodwork program of la </w:t>
      </w:r>
      <w:proofErr w:type="spellStart"/>
      <w:r w:rsidR="00987A32" w:rsidRPr="0049274A">
        <w:rPr>
          <w:sz w:val="20"/>
        </w:rPr>
        <w:t>Escuela</w:t>
      </w:r>
      <w:proofErr w:type="spellEnd"/>
      <w:r w:rsidR="00987A32" w:rsidRPr="0049274A">
        <w:rPr>
          <w:sz w:val="20"/>
        </w:rPr>
        <w:t xml:space="preserve"> de </w:t>
      </w:r>
      <w:proofErr w:type="spellStart"/>
      <w:r w:rsidR="00987A32" w:rsidRPr="0049274A">
        <w:rPr>
          <w:sz w:val="20"/>
        </w:rPr>
        <w:t>Artes</w:t>
      </w:r>
      <w:proofErr w:type="spellEnd"/>
      <w:r w:rsidR="00987A32" w:rsidRPr="0049274A">
        <w:rPr>
          <w:sz w:val="20"/>
        </w:rPr>
        <w:t xml:space="preserve"> y </w:t>
      </w:r>
      <w:proofErr w:type="spellStart"/>
      <w:r w:rsidR="00987A32" w:rsidRPr="0049274A">
        <w:rPr>
          <w:sz w:val="20"/>
        </w:rPr>
        <w:t>Oficios</w:t>
      </w:r>
      <w:proofErr w:type="spellEnd"/>
      <w:r w:rsidR="00987A32" w:rsidRPr="0049274A">
        <w:rPr>
          <w:sz w:val="20"/>
        </w:rPr>
        <w:t xml:space="preserve"> de Santo Domingo.</w:t>
      </w:r>
      <w:r w:rsidR="00987A32">
        <w:rPr>
          <w:sz w:val="20"/>
        </w:rPr>
        <w:t xml:space="preserve"> </w:t>
      </w:r>
      <w:r w:rsidRPr="0049274A">
        <w:rPr>
          <w:sz w:val="20"/>
        </w:rPr>
        <w:t>Mangle produces small, limited editions of their designs, ensuring that they rem</w:t>
      </w:r>
      <w:r w:rsidR="00987A32">
        <w:rPr>
          <w:sz w:val="20"/>
        </w:rPr>
        <w:t xml:space="preserve">ain creators of unique pieces. </w:t>
      </w:r>
      <w:r w:rsidR="00690959" w:rsidRPr="0049274A">
        <w:rPr>
          <w:sz w:val="20"/>
        </w:rPr>
        <w:t xml:space="preserve"> </w:t>
      </w:r>
    </w:p>
    <w:p w:rsidR="00987A32" w:rsidRPr="00987A32" w:rsidRDefault="00987A32" w:rsidP="00987A32">
      <w:pPr>
        <w:pStyle w:val="NoSpacing"/>
        <w:spacing w:line="360" w:lineRule="auto"/>
        <w:jc w:val="both"/>
        <w:rPr>
          <w:sz w:val="20"/>
        </w:rPr>
      </w:pPr>
    </w:p>
    <w:p w:rsidR="00911D53" w:rsidRPr="0049274A" w:rsidRDefault="00AC079A" w:rsidP="00987A32">
      <w:pPr>
        <w:pStyle w:val="NoSpacing"/>
        <w:spacing w:line="360" w:lineRule="auto"/>
        <w:jc w:val="both"/>
        <w:rPr>
          <w:rFonts w:cstheme="minorHAnsi"/>
          <w:sz w:val="20"/>
        </w:rPr>
      </w:pPr>
      <w:r w:rsidRPr="0049274A">
        <w:rPr>
          <w:rFonts w:cstheme="minorHAnsi"/>
          <w:sz w:val="20"/>
        </w:rPr>
        <w:t xml:space="preserve">For more information or images, please contact the gallery at </w:t>
      </w:r>
      <w:hyperlink r:id="rId6" w:history="1">
        <w:r w:rsidRPr="0049274A">
          <w:rPr>
            <w:rStyle w:val="Hyperlink"/>
            <w:rFonts w:cstheme="minorHAnsi"/>
            <w:sz w:val="20"/>
          </w:rPr>
          <w:t>info@magnanmetz.com</w:t>
        </w:r>
      </w:hyperlink>
      <w:r w:rsidRPr="0049274A">
        <w:rPr>
          <w:rFonts w:cstheme="minorHAnsi"/>
          <w:sz w:val="20"/>
        </w:rPr>
        <w:t xml:space="preserve"> or 212 244 2344. </w:t>
      </w:r>
    </w:p>
    <w:p w:rsidR="002B6AF7" w:rsidRPr="003E2C54" w:rsidRDefault="002B6AF7" w:rsidP="003E2C54">
      <w:pPr>
        <w:shd w:val="clear" w:color="auto" w:fill="FFFFFF"/>
        <w:spacing w:after="0" w:line="270" w:lineRule="atLeast"/>
        <w:rPr>
          <w:rFonts w:ascii="Helvetica" w:eastAsia="Times New Roman" w:hAnsi="Helvetica" w:cs="Helvetica"/>
          <w:b/>
          <w:color w:val="000000"/>
          <w:sz w:val="19"/>
          <w:szCs w:val="19"/>
          <w:lang w:val="en-US"/>
        </w:rPr>
      </w:pPr>
    </w:p>
    <w:sectPr w:rsidR="002B6AF7" w:rsidRPr="003E2C54" w:rsidSect="002B6AF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C54" w:rsidRDefault="003E2C54" w:rsidP="003A65B1">
      <w:pPr>
        <w:spacing w:after="0" w:line="240" w:lineRule="auto"/>
      </w:pPr>
      <w:r>
        <w:separator/>
      </w:r>
    </w:p>
  </w:endnote>
  <w:endnote w:type="continuationSeparator" w:id="0">
    <w:p w:rsidR="003E2C54" w:rsidRDefault="003E2C54" w:rsidP="003A65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C54" w:rsidRDefault="003E2C54" w:rsidP="003A65B1">
    <w:pPr>
      <w:pStyle w:val="Footer"/>
      <w:ind w:left="-180"/>
    </w:pPr>
    <w:r>
      <w:rPr>
        <w:noProof/>
        <w:lang w:val="en-US"/>
      </w:rPr>
      <w:drawing>
        <wp:inline distT="0" distB="0" distL="0" distR="0">
          <wp:extent cx="3048000" cy="304800"/>
          <wp:effectExtent l="19050" t="0" r="0" b="0"/>
          <wp:docPr id="2" name="Picture 1" descr="MMG_ad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G_address.jpg"/>
                  <pic:cNvPicPr/>
                </pic:nvPicPr>
                <pic:blipFill>
                  <a:blip r:embed="rId1"/>
                  <a:stretch>
                    <a:fillRect/>
                  </a:stretch>
                </pic:blipFill>
                <pic:spPr>
                  <a:xfrm>
                    <a:off x="0" y="0"/>
                    <a:ext cx="3048000" cy="304800"/>
                  </a:xfrm>
                  <a:prstGeom prst="rect">
                    <a:avLst/>
                  </a:prstGeom>
                </pic:spPr>
              </pic:pic>
            </a:graphicData>
          </a:graphic>
        </wp:inline>
      </w:drawing>
    </w:r>
  </w:p>
  <w:p w:rsidR="003E2C54" w:rsidRDefault="003E2C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C54" w:rsidRDefault="003E2C54" w:rsidP="003A65B1">
      <w:pPr>
        <w:spacing w:after="0" w:line="240" w:lineRule="auto"/>
      </w:pPr>
      <w:r>
        <w:separator/>
      </w:r>
    </w:p>
  </w:footnote>
  <w:footnote w:type="continuationSeparator" w:id="0">
    <w:p w:rsidR="003E2C54" w:rsidRDefault="003E2C54" w:rsidP="003A65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C54" w:rsidRDefault="003E2C54" w:rsidP="003A65B1">
    <w:pPr>
      <w:pStyle w:val="Header"/>
      <w:ind w:left="-180"/>
    </w:pPr>
    <w:r>
      <w:rPr>
        <w:noProof/>
        <w:lang w:val="en-US"/>
      </w:rPr>
      <w:drawing>
        <wp:inline distT="0" distB="0" distL="0" distR="0">
          <wp:extent cx="2143125" cy="704850"/>
          <wp:effectExtent l="19050" t="0" r="9525" b="0"/>
          <wp:docPr id="1" name="Picture 0" descr="MMG_logo.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G_logo.sm.jpg"/>
                  <pic:cNvPicPr/>
                </pic:nvPicPr>
                <pic:blipFill>
                  <a:blip r:embed="rId1"/>
                  <a:stretch>
                    <a:fillRect/>
                  </a:stretch>
                </pic:blipFill>
                <pic:spPr>
                  <a:xfrm>
                    <a:off x="0" y="0"/>
                    <a:ext cx="2143125" cy="704850"/>
                  </a:xfrm>
                  <a:prstGeom prst="rect">
                    <a:avLst/>
                  </a:prstGeom>
                </pic:spPr>
              </pic:pic>
            </a:graphicData>
          </a:graphic>
        </wp:inline>
      </w:drawing>
    </w:r>
  </w:p>
  <w:p w:rsidR="003E2C54" w:rsidRDefault="003E2C5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rsids>
    <w:rsidRoot w:val="003A65B1"/>
    <w:rsid w:val="000A10B8"/>
    <w:rsid w:val="00107A24"/>
    <w:rsid w:val="00142951"/>
    <w:rsid w:val="001C231D"/>
    <w:rsid w:val="002036D2"/>
    <w:rsid w:val="002B6AF7"/>
    <w:rsid w:val="00316779"/>
    <w:rsid w:val="0038443E"/>
    <w:rsid w:val="003A65B1"/>
    <w:rsid w:val="003C3A0E"/>
    <w:rsid w:val="003E2C54"/>
    <w:rsid w:val="004165FF"/>
    <w:rsid w:val="00453C2A"/>
    <w:rsid w:val="0049274A"/>
    <w:rsid w:val="0062682E"/>
    <w:rsid w:val="006375F1"/>
    <w:rsid w:val="00690959"/>
    <w:rsid w:val="00756983"/>
    <w:rsid w:val="007C3953"/>
    <w:rsid w:val="007E6BA8"/>
    <w:rsid w:val="00911D53"/>
    <w:rsid w:val="00987A32"/>
    <w:rsid w:val="009F1848"/>
    <w:rsid w:val="00AC079A"/>
    <w:rsid w:val="00B14B6E"/>
    <w:rsid w:val="00B2092C"/>
    <w:rsid w:val="00BF46D3"/>
    <w:rsid w:val="00C814E2"/>
    <w:rsid w:val="00CA6577"/>
    <w:rsid w:val="00CB6BFD"/>
    <w:rsid w:val="00EB1D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5B1"/>
    <w:rPr>
      <w:rFonts w:ascii="Calibri" w:eastAsia="Calibri" w:hAnsi="Calibri" w:cs="Times New Roman"/>
      <w:lang w:val="es-C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65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5B1"/>
  </w:style>
  <w:style w:type="paragraph" w:styleId="Footer">
    <w:name w:val="footer"/>
    <w:basedOn w:val="Normal"/>
    <w:link w:val="FooterChar"/>
    <w:uiPriority w:val="99"/>
    <w:unhideWhenUsed/>
    <w:rsid w:val="003A65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5B1"/>
  </w:style>
  <w:style w:type="paragraph" w:styleId="NoSpacing">
    <w:name w:val="No Spacing"/>
    <w:uiPriority w:val="1"/>
    <w:qFormat/>
    <w:rsid w:val="003A65B1"/>
    <w:pPr>
      <w:spacing w:after="0" w:line="240" w:lineRule="auto"/>
    </w:pPr>
  </w:style>
  <w:style w:type="character" w:customStyle="1" w:styleId="apple-converted-space">
    <w:name w:val="apple-converted-space"/>
    <w:basedOn w:val="DefaultParagraphFont"/>
    <w:rsid w:val="00107A24"/>
  </w:style>
  <w:style w:type="character" w:styleId="Hyperlink">
    <w:name w:val="Hyperlink"/>
    <w:basedOn w:val="DefaultParagraphFont"/>
    <w:uiPriority w:val="99"/>
    <w:semiHidden/>
    <w:unhideWhenUsed/>
    <w:rsid w:val="00AC079A"/>
    <w:rPr>
      <w:color w:val="0000FF"/>
      <w:u w:val="single"/>
    </w:rPr>
  </w:style>
  <w:style w:type="paragraph" w:styleId="BalloonText">
    <w:name w:val="Balloon Text"/>
    <w:basedOn w:val="Normal"/>
    <w:link w:val="BalloonTextChar"/>
    <w:uiPriority w:val="99"/>
    <w:semiHidden/>
    <w:unhideWhenUsed/>
    <w:rsid w:val="009F18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848"/>
    <w:rPr>
      <w:rFonts w:ascii="Tahoma" w:eastAsia="Calibri" w:hAnsi="Tahoma" w:cs="Tahoma"/>
      <w:sz w:val="16"/>
      <w:szCs w:val="16"/>
      <w:lang w:val="es-C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magnanmetz.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LFriedman</dc:creator>
  <cp:lastModifiedBy>magnanmetz</cp:lastModifiedBy>
  <cp:revision>2</cp:revision>
  <cp:lastPrinted>2013-06-26T18:38:00Z</cp:lastPrinted>
  <dcterms:created xsi:type="dcterms:W3CDTF">2014-03-29T21:21:00Z</dcterms:created>
  <dcterms:modified xsi:type="dcterms:W3CDTF">2014-03-29T21:21:00Z</dcterms:modified>
</cp:coreProperties>
</file>